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E3B" w:rsidRDefault="00A34E3B" w:rsidP="00A34E3B">
      <w:pPr>
        <w:jc w:val="both"/>
      </w:pPr>
      <w:bookmarkStart w:id="0" w:name="_GoBack"/>
      <w:bookmarkEnd w:id="0"/>
      <w:proofErr w:type="spellStart"/>
      <w:r>
        <w:t>Oordenanza</w:t>
      </w:r>
      <w:proofErr w:type="spellEnd"/>
      <w:r>
        <w:t xml:space="preserve"> municipal reguladora del Tráfico, Circulación de Vehículos a motor y Seguridad Vial</w:t>
      </w:r>
    </w:p>
    <w:p w:rsidR="00A34E3B" w:rsidRDefault="00A34E3B" w:rsidP="00A34E3B">
      <w:pPr>
        <w:jc w:val="both"/>
      </w:pPr>
    </w:p>
    <w:p w:rsidR="00A34E3B" w:rsidRDefault="00C46923" w:rsidP="00CB71EB">
      <w:pPr>
        <w:jc w:val="both"/>
        <w:outlineLvl w:val="0"/>
      </w:pPr>
      <w:r>
        <w:t>Capítulo I. Normas generales.</w:t>
      </w:r>
    </w:p>
    <w:p w:rsidR="00A34E3B" w:rsidRDefault="00A34E3B" w:rsidP="00A34E3B">
      <w:pPr>
        <w:jc w:val="both"/>
      </w:pPr>
    </w:p>
    <w:p w:rsidR="003E34DA" w:rsidRDefault="00A34E3B" w:rsidP="00A34E3B">
      <w:pPr>
        <w:jc w:val="both"/>
      </w:pPr>
      <w:r>
        <w:t xml:space="preserve">Artículo 1. La presente ordenanza tiene por objeto regular la circulación y el estacionamiento de vehículos en el municipio de </w:t>
      </w:r>
      <w:proofErr w:type="spellStart"/>
      <w:r w:rsidR="00E6602D">
        <w:t>Aielo</w:t>
      </w:r>
      <w:proofErr w:type="spellEnd"/>
      <w:r w:rsidR="00E6602D">
        <w:t xml:space="preserve"> de </w:t>
      </w:r>
      <w:r>
        <w:t>Ru</w:t>
      </w:r>
      <w:r w:rsidR="00E6602D">
        <w:t>gat</w:t>
      </w:r>
      <w:r>
        <w:t>, con la finalidad de establecer un entorno urbano en el que se concilien de manera racional el uso de las calles con la necesaria circulación y estacionamiento de los vehículos.</w:t>
      </w:r>
    </w:p>
    <w:p w:rsidR="00A34E3B" w:rsidRDefault="00A34E3B" w:rsidP="00A34E3B">
      <w:pPr>
        <w:jc w:val="both"/>
      </w:pPr>
    </w:p>
    <w:p w:rsidR="00A34E3B" w:rsidRDefault="00A34E3B" w:rsidP="00A34E3B">
      <w:pPr>
        <w:jc w:val="both"/>
      </w:pPr>
      <w:r>
        <w:t>Artículo 2. El ámbito de aplicación de la presente Ordenanza lo conforman las vías urbanas comprendidas en el término municipal de Rugat, obligando a todos los usuarios de las mismas, y se dicta en base a la competencia que atribuyen a los Ayuntamientos los art. 25.2, apartados b) y d), de la Ley 7/1985, de 2 de abril, Reguladora de las Bases de Régimen Local, 74 a 91 del Reglamento de Bienes</w:t>
      </w:r>
      <w:r w:rsidR="008E7577">
        <w:t xml:space="preserve"> de las Entidades Locales</w:t>
      </w:r>
      <w:r>
        <w:t xml:space="preserve"> </w:t>
      </w:r>
      <w:r w:rsidR="008E7577">
        <w:t xml:space="preserve">, y 7.b) y </w:t>
      </w:r>
      <w:r w:rsidR="00526006">
        <w:t>38.4 del Real Decreto Legislativo 339/1990, de 2 de marzo, por el que se aprueba el texto articulado de la Ley sobre Tráfico, Circulación de Vehículos a Motor y Seguridad Vial.</w:t>
      </w:r>
    </w:p>
    <w:p w:rsidR="00526006" w:rsidRDefault="00526006" w:rsidP="00A34E3B">
      <w:pPr>
        <w:jc w:val="both"/>
      </w:pPr>
    </w:p>
    <w:p w:rsidR="00A66A1E" w:rsidRDefault="00526006" w:rsidP="00A66A1E">
      <w:pPr>
        <w:jc w:val="both"/>
      </w:pPr>
      <w:r>
        <w:t>Artículo 3</w:t>
      </w:r>
      <w:r w:rsidR="00A66A1E">
        <w:t>. En todas aquellas materias no reguladas expresamente en esta Ordenanza se aplicará el texto articulado de la Ley sobre Tráfico, Circulación de Vehículos a Motor y Seguridad Vial y los Reglamentos que la desarrollan.</w:t>
      </w:r>
    </w:p>
    <w:p w:rsidR="00A66A1E" w:rsidRDefault="00A66A1E" w:rsidP="00A66A1E">
      <w:pPr>
        <w:jc w:val="both"/>
      </w:pPr>
    </w:p>
    <w:p w:rsidR="00A66A1E" w:rsidRDefault="00A66A1E" w:rsidP="00A66A1E">
      <w:pPr>
        <w:jc w:val="both"/>
      </w:pPr>
      <w:r>
        <w:t xml:space="preserve">Artículo 4. A los efectos de la presente Ordenanza, los conceptos básicos sobre vehículos, </w:t>
      </w:r>
      <w:proofErr w:type="spellStart"/>
      <w:r>
        <w:t>vás</w:t>
      </w:r>
      <w:proofErr w:type="spellEnd"/>
      <w:r>
        <w:t xml:space="preserve"> públicas y usuarios de las mismas, se entenderán utilizados en el sentido que para cada uno de ellos se concreta en el anexo del</w:t>
      </w:r>
      <w:r w:rsidRPr="00A66A1E">
        <w:t xml:space="preserve"> </w:t>
      </w:r>
      <w:r>
        <w:t>texto articulado de la Ley sobre Tráfico, Circulación de Vehículos a Motor y Seguridad Vial.</w:t>
      </w:r>
    </w:p>
    <w:p w:rsidR="00A66A1E" w:rsidRDefault="00A66A1E" w:rsidP="00A66A1E">
      <w:pPr>
        <w:jc w:val="both"/>
      </w:pPr>
    </w:p>
    <w:p w:rsidR="00A66A1E" w:rsidRDefault="00A66A1E" w:rsidP="00A66A1E">
      <w:pPr>
        <w:jc w:val="both"/>
      </w:pPr>
      <w:r>
        <w:t>Artículo 5. Salvo en las zonas especialmente habilitadas al efecto y debidamente señalizadas, se prohíbe la circulación por las aceras y zonas peatonales de personas montadas en vehículos de motor, ciclomotores, bicicletas, patines, monopatines o aparatos similares</w:t>
      </w:r>
    </w:p>
    <w:p w:rsidR="00A66A1E" w:rsidRDefault="00A66A1E" w:rsidP="00A66A1E">
      <w:pPr>
        <w:jc w:val="both"/>
      </w:pPr>
    </w:p>
    <w:p w:rsidR="00A66A1E" w:rsidRDefault="00A66A1E" w:rsidP="00A66A1E">
      <w:pPr>
        <w:jc w:val="both"/>
      </w:pPr>
      <w:r>
        <w:t xml:space="preserve">Artículo 6. Conforme a lo establecido en el art. 7 del Reglamento General de Circulación no se podrá emitir perturbaciones electromagnéticas, ruidos, gases y otros </w:t>
      </w:r>
      <w:proofErr w:type="gramStart"/>
      <w:r>
        <w:t>contaminantes</w:t>
      </w:r>
      <w:proofErr w:type="gramEnd"/>
      <w:r>
        <w:t xml:space="preserve"> en las vías objeto de la presente Ordenanza, prohibiéndose expresamente la circulación de vehículos de motor y ciclomotores con el llamado escape libre, o con silenciadores no eficaces, incompletos, inadecuados o deteriorados.</w:t>
      </w:r>
    </w:p>
    <w:p w:rsidR="00C46923" w:rsidRDefault="00C46923" w:rsidP="00A66A1E">
      <w:pPr>
        <w:jc w:val="both"/>
      </w:pPr>
    </w:p>
    <w:p w:rsidR="00C46923" w:rsidRDefault="00C46923" w:rsidP="00A66A1E">
      <w:pPr>
        <w:jc w:val="both"/>
      </w:pPr>
      <w:r>
        <w:t>Artículo 7. Queda prohibido forzar las marchas de los vehículos produciendo ruidos molestos con aceleraciones innecesarias</w:t>
      </w:r>
    </w:p>
    <w:p w:rsidR="00C46923" w:rsidRDefault="00C46923" w:rsidP="00A66A1E">
      <w:pPr>
        <w:jc w:val="both"/>
      </w:pPr>
    </w:p>
    <w:p w:rsidR="00C46923" w:rsidRDefault="00C46923" w:rsidP="00A66A1E">
      <w:pPr>
        <w:jc w:val="both"/>
      </w:pPr>
      <w:r>
        <w:t>Artículo 8. Los conductores y viajeros de motocicletas de dos ruedas y los conductores de ciclomotores en las vías urbanas están obligados a utilizar adecuadamente cascos de protección homologados o certificados por la legislación vigente.</w:t>
      </w:r>
    </w:p>
    <w:p w:rsidR="00C46923" w:rsidRDefault="00C46923" w:rsidP="00A66A1E">
      <w:pPr>
        <w:jc w:val="both"/>
      </w:pPr>
    </w:p>
    <w:p w:rsidR="00C46923" w:rsidRDefault="00C46923" w:rsidP="00CB71EB">
      <w:pPr>
        <w:jc w:val="both"/>
        <w:outlineLvl w:val="0"/>
      </w:pPr>
      <w:r>
        <w:t>Capítulo II. Paradas y estacionamientos</w:t>
      </w:r>
    </w:p>
    <w:p w:rsidR="00C46923" w:rsidRDefault="00C46923" w:rsidP="00A66A1E">
      <w:pPr>
        <w:jc w:val="both"/>
      </w:pPr>
    </w:p>
    <w:p w:rsidR="00C46923" w:rsidRDefault="00C46923" w:rsidP="00A66A1E">
      <w:pPr>
        <w:jc w:val="both"/>
      </w:pPr>
      <w:r>
        <w:lastRenderedPageBreak/>
        <w:t>Artículo 9. Tendrá la consideración de parada toda inmovilización de un vehículo con el objeto de tomar o dejar personas o cargar y descargar cosas, cuya duración no exceda de dos minutos.</w:t>
      </w:r>
    </w:p>
    <w:p w:rsidR="00C46923" w:rsidRDefault="00C46923" w:rsidP="00A66A1E">
      <w:pPr>
        <w:jc w:val="both"/>
      </w:pPr>
      <w:r>
        <w:t>No se considerará para la detenci</w:t>
      </w:r>
      <w:r w:rsidR="00D428AD">
        <w:t>ón accidental o momentá</w:t>
      </w:r>
      <w:r>
        <w:t>nea por necesidad de la circulación.</w:t>
      </w:r>
    </w:p>
    <w:p w:rsidR="00C46923" w:rsidRDefault="00C46923" w:rsidP="00A66A1E">
      <w:pPr>
        <w:jc w:val="both"/>
      </w:pPr>
    </w:p>
    <w:p w:rsidR="00D428AD" w:rsidRDefault="00D428AD" w:rsidP="00A66A1E">
      <w:pPr>
        <w:jc w:val="both"/>
      </w:pPr>
      <w:r>
        <w:t>Artículo 10. La parada deberá efectuarse de tal manera que el vehículo no obstaculice la circulación ni constituya un riesgo para el resto de los/las usuarios/as de las vías, cuidando especialmente la colocación del mismo. En todo caso la parada tendrá que hacerse arrimando el vehículo a la acera de la derecha según el sentido de la marcha, aunque en las vías de un solo sentido de circulación también se podrá hacer a la izquierda. Los/las pasajeros/as tendrán que bajar por el lado correspondiente a la acera. La persona conductor, si tiene que bajar, podrá hacerlo en el otro lado, siempre que previamente se asegure que puede efectuarlo sin ningún tipo de peligro.</w:t>
      </w:r>
    </w:p>
    <w:p w:rsidR="00D428AD" w:rsidRDefault="00D428AD" w:rsidP="00A66A1E">
      <w:pPr>
        <w:jc w:val="both"/>
      </w:pPr>
    </w:p>
    <w:p w:rsidR="00D428AD" w:rsidRDefault="00D428AD" w:rsidP="00A66A1E">
      <w:pPr>
        <w:jc w:val="both"/>
      </w:pPr>
      <w:r>
        <w:t>Artículo 11. En todas las zonas y vías públicas, la parada se efectuará en los puntos donde menos dificultades se produzcan en la circulación. Se exceptúan los casos en los que los/as pasajeros/as sean personas enfermas o impedidas, o se trate de servicios públicos de urgencia o de camiones del servicio de limpieza o recogida de basuras.</w:t>
      </w:r>
    </w:p>
    <w:p w:rsidR="00D428AD" w:rsidRDefault="00D428AD" w:rsidP="00A66A1E">
      <w:pPr>
        <w:jc w:val="both"/>
      </w:pPr>
    </w:p>
    <w:p w:rsidR="00D428AD" w:rsidRDefault="00D428AD" w:rsidP="00A66A1E">
      <w:pPr>
        <w:jc w:val="both"/>
      </w:pPr>
      <w:r>
        <w:t>Artículo 12. Se proh</w:t>
      </w:r>
      <w:r w:rsidR="008D5EA7">
        <w:t>í</w:t>
      </w:r>
      <w:r>
        <w:t>ben las paradas en los casos y lugares siguientes:</w:t>
      </w:r>
    </w:p>
    <w:p w:rsidR="00D428AD" w:rsidRDefault="00D428AD" w:rsidP="008D5EA7">
      <w:pPr>
        <w:numPr>
          <w:ilvl w:val="0"/>
          <w:numId w:val="1"/>
        </w:numPr>
        <w:jc w:val="both"/>
      </w:pPr>
      <w:r>
        <w:t>En todos aquellos lugares en que lo proh</w:t>
      </w:r>
      <w:r w:rsidR="008D5EA7">
        <w:t>í</w:t>
      </w:r>
      <w:r>
        <w:t xml:space="preserve">ba </w:t>
      </w:r>
      <w:r w:rsidR="008D5EA7">
        <w:t>la señalización existente.</w:t>
      </w:r>
    </w:p>
    <w:p w:rsidR="008D5EA7" w:rsidRDefault="008D5EA7" w:rsidP="008D5EA7">
      <w:pPr>
        <w:numPr>
          <w:ilvl w:val="0"/>
          <w:numId w:val="1"/>
        </w:numPr>
        <w:jc w:val="both"/>
      </w:pPr>
      <w:r>
        <w:t>Cuando se impida la incorporación a la circulación de otro vehículo debidamente parado o estacionado.</w:t>
      </w:r>
    </w:p>
    <w:p w:rsidR="008D5EA7" w:rsidRDefault="008D5EA7" w:rsidP="008D5EA7">
      <w:pPr>
        <w:numPr>
          <w:ilvl w:val="0"/>
          <w:numId w:val="1"/>
        </w:numPr>
        <w:jc w:val="both"/>
      </w:pPr>
      <w:r>
        <w:t>Cuando se obstaculice el acceso de personas a inmuebles o se impida la utilización de una salida de vehículos de un inmueble debidamente señalizada.</w:t>
      </w:r>
    </w:p>
    <w:p w:rsidR="008D5EA7" w:rsidRDefault="008D5EA7" w:rsidP="008D5EA7">
      <w:pPr>
        <w:numPr>
          <w:ilvl w:val="0"/>
          <w:numId w:val="1"/>
        </w:numPr>
        <w:jc w:val="both"/>
      </w:pPr>
      <w:r>
        <w:t>Cuando se obstaculice la utilización normal de los pasos de peatones o de los pasos rebajados para disminuidos físicos.</w:t>
      </w:r>
    </w:p>
    <w:p w:rsidR="008D5EA7" w:rsidRDefault="008D5EA7" w:rsidP="008D5EA7">
      <w:pPr>
        <w:numPr>
          <w:ilvl w:val="0"/>
          <w:numId w:val="1"/>
        </w:numPr>
        <w:jc w:val="both"/>
      </w:pPr>
      <w:r>
        <w:t>Sobre y junto a los refugios, isletas, medianas de protección y demás eleme</w:t>
      </w:r>
      <w:r w:rsidR="003F08A9">
        <w:t>n</w:t>
      </w:r>
      <w:r>
        <w:t>tos canalizadores del tráfico.</w:t>
      </w:r>
    </w:p>
    <w:p w:rsidR="008D5EA7" w:rsidRDefault="008D5EA7" w:rsidP="008D5EA7">
      <w:pPr>
        <w:numPr>
          <w:ilvl w:val="0"/>
          <w:numId w:val="1"/>
        </w:numPr>
        <w:jc w:val="both"/>
      </w:pPr>
      <w:r>
        <w:t>Cuando se impida a otros vehículos un giro autorizado.</w:t>
      </w:r>
    </w:p>
    <w:p w:rsidR="008D5EA7" w:rsidRDefault="008D5EA7" w:rsidP="008D5EA7">
      <w:pPr>
        <w:numPr>
          <w:ilvl w:val="0"/>
          <w:numId w:val="1"/>
        </w:numPr>
        <w:jc w:val="both"/>
      </w:pPr>
      <w:r>
        <w:t>En las intersecciones y en sus proximidades.</w:t>
      </w:r>
    </w:p>
    <w:p w:rsidR="008D5EA7" w:rsidRDefault="008D5EA7" w:rsidP="008D5EA7">
      <w:pPr>
        <w:numPr>
          <w:ilvl w:val="0"/>
          <w:numId w:val="1"/>
        </w:numPr>
        <w:jc w:val="both"/>
      </w:pPr>
      <w:r>
        <w:t xml:space="preserve">En los lugares donde la </w:t>
      </w:r>
      <w:r w:rsidR="00962F86">
        <w:t>det</w:t>
      </w:r>
      <w:r>
        <w:t>ención impida la visión de las señales de tráfico a los usuarios de la vía.</w:t>
      </w:r>
    </w:p>
    <w:p w:rsidR="008D5EA7" w:rsidRDefault="008D5EA7" w:rsidP="008D5EA7">
      <w:pPr>
        <w:numPr>
          <w:ilvl w:val="0"/>
          <w:numId w:val="1"/>
        </w:numPr>
        <w:jc w:val="both"/>
      </w:pPr>
      <w:r>
        <w:t>En las paradas de transporte público señalizadas y delimitadas</w:t>
      </w:r>
      <w:r w:rsidR="003F08A9">
        <w:t xml:space="preserve"> y servicios de urgencia</w:t>
      </w:r>
      <w:r>
        <w:t>.</w:t>
      </w:r>
    </w:p>
    <w:p w:rsidR="003F08A9" w:rsidRDefault="008D5EA7" w:rsidP="008D5EA7">
      <w:pPr>
        <w:numPr>
          <w:ilvl w:val="0"/>
          <w:numId w:val="1"/>
        </w:numPr>
        <w:jc w:val="both"/>
      </w:pPr>
      <w:r>
        <w:t>En las curvas o cambios de rasante, cuando la visibilidad sea insuficiente para que los demás vehículos</w:t>
      </w:r>
      <w:r w:rsidR="003F08A9">
        <w:t xml:space="preserve"> puedan rebasar sin peligro al que esté detenido.</w:t>
      </w:r>
    </w:p>
    <w:p w:rsidR="003F08A9" w:rsidRDefault="003F08A9" w:rsidP="008D5EA7">
      <w:pPr>
        <w:numPr>
          <w:ilvl w:val="0"/>
          <w:numId w:val="1"/>
        </w:numPr>
        <w:jc w:val="both"/>
      </w:pPr>
      <w:r>
        <w:t>Sobre las aceras</w:t>
      </w:r>
      <w:r w:rsidR="00962F86">
        <w:t>, paseos</w:t>
      </w:r>
      <w:r>
        <w:t xml:space="preserve"> o en las zonas destinadas al uso exclusivo de peatones.</w:t>
      </w:r>
    </w:p>
    <w:p w:rsidR="003F08A9" w:rsidRDefault="003F08A9" w:rsidP="008D5EA7">
      <w:pPr>
        <w:numPr>
          <w:ilvl w:val="0"/>
          <w:numId w:val="1"/>
        </w:numPr>
        <w:jc w:val="both"/>
      </w:pPr>
      <w:r>
        <w:t>En doble fila, salvo que existan razones de necesidad debidamente justificadas en cuyo caso el/la conductor/</w:t>
      </w:r>
      <w:proofErr w:type="spellStart"/>
      <w:r>
        <w:t>ra</w:t>
      </w:r>
      <w:proofErr w:type="spellEnd"/>
      <w:r>
        <w:t xml:space="preserve"> deberá permanecer en el interior del vehículo.</w:t>
      </w:r>
    </w:p>
    <w:p w:rsidR="003F08A9" w:rsidRDefault="003F08A9" w:rsidP="008D5EA7">
      <w:pPr>
        <w:numPr>
          <w:ilvl w:val="0"/>
          <w:numId w:val="1"/>
        </w:numPr>
        <w:jc w:val="both"/>
      </w:pPr>
      <w:r>
        <w:t>En medio de la calzada, salvo que esté expresamente autorizado.</w:t>
      </w:r>
    </w:p>
    <w:p w:rsidR="003F08A9" w:rsidRDefault="003F08A9" w:rsidP="008D5EA7">
      <w:pPr>
        <w:numPr>
          <w:ilvl w:val="0"/>
          <w:numId w:val="1"/>
        </w:numPr>
        <w:jc w:val="both"/>
      </w:pPr>
      <w:r>
        <w:t>A la misma altura que otro vehículo parado en la parte contraria de la calzada.</w:t>
      </w:r>
    </w:p>
    <w:p w:rsidR="003F08A9" w:rsidRDefault="003F08A9" w:rsidP="008D5EA7">
      <w:pPr>
        <w:numPr>
          <w:ilvl w:val="0"/>
          <w:numId w:val="1"/>
        </w:numPr>
        <w:jc w:val="both"/>
      </w:pPr>
      <w:r>
        <w:t>Delante de los vados correctamente señalizados.</w:t>
      </w:r>
    </w:p>
    <w:p w:rsidR="003F08A9" w:rsidRDefault="003F08A9" w:rsidP="008D5EA7">
      <w:pPr>
        <w:numPr>
          <w:ilvl w:val="0"/>
          <w:numId w:val="1"/>
        </w:numPr>
        <w:jc w:val="both"/>
      </w:pPr>
      <w:r>
        <w:t>Cualquier otra parada que origine un peligro u obstaculice gravemente la circulación de vehículos o de peatones.</w:t>
      </w:r>
    </w:p>
    <w:p w:rsidR="003F08A9" w:rsidRDefault="003F08A9" w:rsidP="003F08A9">
      <w:pPr>
        <w:jc w:val="both"/>
      </w:pPr>
    </w:p>
    <w:p w:rsidR="00F534BC" w:rsidRDefault="003F08A9" w:rsidP="003F08A9">
      <w:pPr>
        <w:jc w:val="both"/>
      </w:pPr>
      <w:r>
        <w:t>Artículo 13. Tendrá la consideración de estacionamiento toda inmovilización de un vehículo cuya duración sea superior a dos minutos, siempre que no sea motivada por imperativos de la circulación</w:t>
      </w:r>
      <w:r w:rsidR="0098266E">
        <w:t xml:space="preserve"> o por el cumplimiento de cualquier requisito </w:t>
      </w:r>
      <w:r w:rsidR="0098266E">
        <w:lastRenderedPageBreak/>
        <w:t>reglamentario. Se denomina estacionamiento en fila o cordón, aquel en que los vehículos se sitúan uno detrás de otro. Se denomina estacionamiento en batería, aquel en que los vehículos se sitúan uno en el lateral del otro.</w:t>
      </w:r>
      <w:r w:rsidR="00F534BC">
        <w:t xml:space="preserve"> Se denomina estacionamiento en </w:t>
      </w:r>
      <w:proofErr w:type="spellStart"/>
      <w:r w:rsidR="00F534BC">
        <w:t>semibatería</w:t>
      </w:r>
      <w:proofErr w:type="spellEnd"/>
      <w:r w:rsidR="00F534BC">
        <w:t>, aquel en que los vehículos están situados unos al costado de otros y oblicuamente al bordillo de la acera.</w:t>
      </w:r>
    </w:p>
    <w:p w:rsidR="00F534BC" w:rsidRDefault="00F534BC" w:rsidP="003F08A9">
      <w:pPr>
        <w:jc w:val="both"/>
      </w:pPr>
    </w:p>
    <w:p w:rsidR="008D5EA7" w:rsidRDefault="00F534BC" w:rsidP="003F08A9">
      <w:pPr>
        <w:jc w:val="both"/>
      </w:pPr>
      <w:r>
        <w:t>Artículo 14. El estacionamiento deberá realizarse de tal manera que el vehículo</w:t>
      </w:r>
      <w:r w:rsidR="008D5EA7">
        <w:t xml:space="preserve"> </w:t>
      </w:r>
      <w:r>
        <w:t>no obstaculice la circulación ni constituya un riesgo para el resto de los usuarios/as de la vía, cuidando especialmente la colocación del mismo y que la distancia con el borde de la calzada sea la menor posible.</w:t>
      </w:r>
    </w:p>
    <w:p w:rsidR="00F534BC" w:rsidRDefault="00F534BC" w:rsidP="003F08A9">
      <w:pPr>
        <w:jc w:val="both"/>
      </w:pPr>
      <w:r>
        <w:t>Cuando el espacio destinado a estacionamiento esté delimitado en el pavimento, el vehículo se estacionará dentro del área marcada.</w:t>
      </w:r>
    </w:p>
    <w:p w:rsidR="00F534BC" w:rsidRDefault="00F534BC" w:rsidP="003F08A9">
      <w:pPr>
        <w:jc w:val="both"/>
      </w:pPr>
      <w:r>
        <w:t>El estacionamiento se efectuará de forma tal que permita la ejecución de las maniobras de entrada y salida tanto de su conductor/</w:t>
      </w:r>
      <w:proofErr w:type="spellStart"/>
      <w:r>
        <w:t>ra</w:t>
      </w:r>
      <w:proofErr w:type="spellEnd"/>
      <w:r>
        <w:t xml:space="preserve"> como de otros usuarios/as, dejando libre el mayor espacio posible para el estacionamiento de otros vehículos.</w:t>
      </w:r>
    </w:p>
    <w:p w:rsidR="00F534BC" w:rsidRDefault="00F534BC" w:rsidP="003F08A9">
      <w:pPr>
        <w:jc w:val="both"/>
      </w:pPr>
    </w:p>
    <w:p w:rsidR="00F534BC" w:rsidRDefault="00F534BC" w:rsidP="003F08A9">
      <w:pPr>
        <w:jc w:val="both"/>
      </w:pPr>
      <w:r>
        <w:t>Artículo 15. Se prohíbe el estacionamiento en todos aquellos lugares y casos en que esté prohibida la parada y además, en los siguientes:</w:t>
      </w:r>
    </w:p>
    <w:p w:rsidR="00F534BC" w:rsidRDefault="00FC7830" w:rsidP="00FC7830">
      <w:pPr>
        <w:numPr>
          <w:ilvl w:val="0"/>
          <w:numId w:val="2"/>
        </w:numPr>
        <w:jc w:val="both"/>
      </w:pPr>
      <w:r>
        <w:t>En todos aquellos lugares en los que lo prohíba la señalización existente</w:t>
      </w:r>
    </w:p>
    <w:p w:rsidR="00FC7830" w:rsidRDefault="00FC7830" w:rsidP="00FC7830">
      <w:pPr>
        <w:numPr>
          <w:ilvl w:val="0"/>
          <w:numId w:val="2"/>
        </w:numPr>
        <w:jc w:val="both"/>
      </w:pPr>
      <w:r>
        <w:t>En un mismo lugar de la vía pública durante más de siete días consecutivos.</w:t>
      </w:r>
    </w:p>
    <w:p w:rsidR="00FC7830" w:rsidRDefault="00FC7830" w:rsidP="00FC7830">
      <w:pPr>
        <w:numPr>
          <w:ilvl w:val="0"/>
          <w:numId w:val="2"/>
        </w:numPr>
        <w:jc w:val="both"/>
      </w:pPr>
      <w:r>
        <w:t>En doble fila, en cualquier supuesto.</w:t>
      </w:r>
    </w:p>
    <w:p w:rsidR="00FC7830" w:rsidRDefault="00FC7830" w:rsidP="00FC7830">
      <w:pPr>
        <w:numPr>
          <w:ilvl w:val="0"/>
          <w:numId w:val="2"/>
        </w:numPr>
        <w:jc w:val="both"/>
      </w:pPr>
      <w:r>
        <w:t>En los lugares reservados para carga y descarga.</w:t>
      </w:r>
    </w:p>
    <w:p w:rsidR="00FC7830" w:rsidRDefault="00680F0D" w:rsidP="00FC7830">
      <w:pPr>
        <w:numPr>
          <w:ilvl w:val="0"/>
          <w:numId w:val="2"/>
        </w:numPr>
        <w:jc w:val="both"/>
      </w:pPr>
      <w:r>
        <w:t>E</w:t>
      </w:r>
      <w:r w:rsidR="00FC7830">
        <w:t>n las zonas reservadas para estacionamiento de vehículos de servicio público, organismos oficiales, minusválidos u otras categorías de usuarios.</w:t>
      </w:r>
    </w:p>
    <w:p w:rsidR="00FC7830" w:rsidRDefault="00FC7830" w:rsidP="00FC7830">
      <w:pPr>
        <w:numPr>
          <w:ilvl w:val="0"/>
          <w:numId w:val="2"/>
        </w:numPr>
        <w:jc w:val="both"/>
      </w:pPr>
      <w:r>
        <w:t>En batería, sin placas que habiliten tal posibilidad.</w:t>
      </w:r>
    </w:p>
    <w:p w:rsidR="00FC7830" w:rsidRDefault="00FC7830" w:rsidP="00FC7830">
      <w:pPr>
        <w:numPr>
          <w:ilvl w:val="0"/>
          <w:numId w:val="2"/>
        </w:numPr>
        <w:jc w:val="both"/>
      </w:pPr>
      <w:r>
        <w:t>En línea, cuando el estacionamiento deba efectuarse en batería conforme a la señalización existente.</w:t>
      </w:r>
    </w:p>
    <w:p w:rsidR="00FC7830" w:rsidRDefault="00FC7830" w:rsidP="00FC7830">
      <w:pPr>
        <w:numPr>
          <w:ilvl w:val="0"/>
          <w:numId w:val="2"/>
        </w:numPr>
        <w:jc w:val="both"/>
      </w:pPr>
      <w:r>
        <w:t>En los lugares en que vayan a ser ocupados temporalmente para otros usos o actividades, en cuyo caso deberán señalizarse por el Ayuntamiento adecuadamente, al menos con cuarenta y ocho horas de antelación</w:t>
      </w:r>
    </w:p>
    <w:p w:rsidR="00FC7830" w:rsidRDefault="00FC7830" w:rsidP="00FC7830">
      <w:pPr>
        <w:numPr>
          <w:ilvl w:val="0"/>
          <w:numId w:val="2"/>
        </w:numPr>
        <w:jc w:val="both"/>
      </w:pPr>
      <w:r>
        <w:t>Aquellos otros que no estén expresamente recogidos, cuando constituyan un obstáculo grave para la circulación de vehículos o peatones.</w:t>
      </w:r>
    </w:p>
    <w:p w:rsidR="00680F0D" w:rsidRDefault="00680F0D" w:rsidP="00680F0D">
      <w:pPr>
        <w:ind w:left="360"/>
        <w:jc w:val="both"/>
      </w:pPr>
    </w:p>
    <w:p w:rsidR="00680F0D" w:rsidRDefault="00680F0D" w:rsidP="00680F0D">
      <w:pPr>
        <w:ind w:left="360"/>
        <w:jc w:val="both"/>
      </w:pPr>
      <w:r>
        <w:t>Artículo 16. Se prohíbe expresamente el estacionamiento de caravanas, roulottes, móviles-</w:t>
      </w:r>
      <w:proofErr w:type="spellStart"/>
      <w:r>
        <w:t>homes</w:t>
      </w:r>
      <w:proofErr w:type="spellEnd"/>
      <w:r>
        <w:t>, remolques o vehículos similares en todo el casco urbano de Rugat.</w:t>
      </w:r>
    </w:p>
    <w:p w:rsidR="00680F0D" w:rsidRDefault="00680F0D" w:rsidP="00680F0D">
      <w:pPr>
        <w:ind w:left="360"/>
        <w:jc w:val="both"/>
      </w:pPr>
    </w:p>
    <w:p w:rsidR="002D0F17" w:rsidRDefault="00680F0D" w:rsidP="00680F0D">
      <w:pPr>
        <w:ind w:left="360"/>
        <w:jc w:val="both"/>
      </w:pPr>
      <w:r>
        <w:t>Artículo 17. Las infracciones contra los preceptos establecidos en esta Ordenanza que no estén recogidas en la legislación de tráfico, se penalizarán con la sanción correspondiente a vehículo estacionado</w:t>
      </w:r>
      <w:r w:rsidR="002D0F17">
        <w:t>.</w:t>
      </w:r>
    </w:p>
    <w:p w:rsidR="002D0F17" w:rsidRDefault="002D0F17" w:rsidP="00680F0D">
      <w:pPr>
        <w:ind w:left="360"/>
        <w:jc w:val="both"/>
      </w:pPr>
    </w:p>
    <w:p w:rsidR="00CB71EB" w:rsidRDefault="002D0F17" w:rsidP="00680F0D">
      <w:pPr>
        <w:ind w:left="360"/>
        <w:jc w:val="both"/>
      </w:pPr>
      <w:r>
        <w:t xml:space="preserve">Artículo 18. </w:t>
      </w:r>
      <w:r w:rsidR="00CB71EB">
        <w:t>En todo lo relativo a la determinación de las sanciones e infracciones, se estará a</w:t>
      </w:r>
      <w:r>
        <w:t xml:space="preserve"> lo establecido en el art. 68.2 de la Ley sobre Tráfico, Circulación de Vehículos a Motor y Seguridad Vial, en relación con lo dispuesto en la Disposición adicional cuarta de la Ley 6/1997, de 14 de abril, de Organización y Funcionamiento de la Administración General del Estado,</w:t>
      </w:r>
      <w:r w:rsidR="006B60AA">
        <w:t xml:space="preserve"> siendo la D</w:t>
      </w:r>
      <w:r>
        <w:t xml:space="preserve">elegación del </w:t>
      </w:r>
      <w:r w:rsidR="006B60AA">
        <w:t>G</w:t>
      </w:r>
      <w:r>
        <w:t xml:space="preserve">obierno </w:t>
      </w:r>
      <w:r w:rsidR="006B60AA">
        <w:t xml:space="preserve">quien </w:t>
      </w:r>
      <w:r>
        <w:t xml:space="preserve">asume la competencia para sancionar las infracciones a las normas de circulación cometidas en el casco urbano de </w:t>
      </w:r>
      <w:r w:rsidR="00E6602D">
        <w:t xml:space="preserve"> </w:t>
      </w:r>
      <w:proofErr w:type="spellStart"/>
      <w:r w:rsidR="00E6602D">
        <w:t>Aielo</w:t>
      </w:r>
      <w:proofErr w:type="spellEnd"/>
      <w:r w:rsidR="00E6602D">
        <w:t xml:space="preserve"> de </w:t>
      </w:r>
      <w:r>
        <w:t>Rugat</w:t>
      </w:r>
      <w:r w:rsidR="00CB71EB">
        <w:t>.</w:t>
      </w:r>
    </w:p>
    <w:p w:rsidR="00CB71EB" w:rsidRDefault="00CB71EB" w:rsidP="00680F0D">
      <w:pPr>
        <w:ind w:left="360"/>
        <w:jc w:val="both"/>
      </w:pPr>
    </w:p>
    <w:p w:rsidR="00CB71EB" w:rsidRDefault="00CB71EB" w:rsidP="00CB71EB">
      <w:pPr>
        <w:jc w:val="both"/>
        <w:outlineLvl w:val="0"/>
      </w:pPr>
      <w:r>
        <w:t>Disposición final</w:t>
      </w:r>
    </w:p>
    <w:p w:rsidR="00CB71EB" w:rsidRDefault="00CB71EB" w:rsidP="00CB71EB">
      <w:pPr>
        <w:jc w:val="both"/>
      </w:pPr>
      <w:r>
        <w:lastRenderedPageBreak/>
        <w:t>La presente ordenanza fiscal entrará en vigor el día de su publicación en el Boletín Oficial de la Provincia y comenzará a aplicarse a partir del día 1 de enero de 2008, permaneciendo en vigor hasta su modificación o derogación.</w:t>
      </w:r>
    </w:p>
    <w:p w:rsidR="00CB71EB" w:rsidRDefault="00CB71EB" w:rsidP="00CB71EB">
      <w:pPr>
        <w:jc w:val="both"/>
      </w:pPr>
      <w:r>
        <w:t xml:space="preserve"> </w:t>
      </w:r>
    </w:p>
    <w:p w:rsidR="00FC7830" w:rsidRDefault="00FC7830" w:rsidP="00680F0D">
      <w:pPr>
        <w:ind w:left="360"/>
        <w:jc w:val="both"/>
      </w:pPr>
      <w:r>
        <w:t xml:space="preserve"> </w:t>
      </w:r>
    </w:p>
    <w:p w:rsidR="00A66A1E" w:rsidRDefault="00A66A1E" w:rsidP="00A66A1E">
      <w:pPr>
        <w:jc w:val="both"/>
      </w:pPr>
    </w:p>
    <w:p w:rsidR="00526006" w:rsidRDefault="00526006" w:rsidP="00A34E3B">
      <w:pPr>
        <w:jc w:val="both"/>
      </w:pPr>
    </w:p>
    <w:p w:rsidR="00526006" w:rsidRDefault="00526006" w:rsidP="00A34E3B">
      <w:pPr>
        <w:jc w:val="both"/>
      </w:pPr>
    </w:p>
    <w:sectPr w:rsidR="005260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3CF"/>
    <w:multiLevelType w:val="hybridMultilevel"/>
    <w:tmpl w:val="0C7083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F1062C"/>
    <w:multiLevelType w:val="hybridMultilevel"/>
    <w:tmpl w:val="F1EA3B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09"/>
    <w:rsid w:val="00115187"/>
    <w:rsid w:val="00150009"/>
    <w:rsid w:val="00214E82"/>
    <w:rsid w:val="002D0F17"/>
    <w:rsid w:val="003E34DA"/>
    <w:rsid w:val="003F08A9"/>
    <w:rsid w:val="004076F3"/>
    <w:rsid w:val="00526006"/>
    <w:rsid w:val="005D1E00"/>
    <w:rsid w:val="00680F0D"/>
    <w:rsid w:val="006B60AA"/>
    <w:rsid w:val="00883F8E"/>
    <w:rsid w:val="008D5EA7"/>
    <w:rsid w:val="008E7577"/>
    <w:rsid w:val="00962F86"/>
    <w:rsid w:val="0098266E"/>
    <w:rsid w:val="00A34E3B"/>
    <w:rsid w:val="00A66A1E"/>
    <w:rsid w:val="00C46923"/>
    <w:rsid w:val="00CB71EB"/>
    <w:rsid w:val="00D428AD"/>
    <w:rsid w:val="00E6602D"/>
    <w:rsid w:val="00F31267"/>
    <w:rsid w:val="00F534BC"/>
    <w:rsid w:val="00FC7830"/>
    <w:rsid w:val="00F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CEA9E38-2CFC-46D5-A3B2-B9E075B1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1393</Words>
  <Characters>7666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Oordenanza municipal reguladora del Tráfico, Circulación de Vehículos a motor y Seguridad Vial</vt:lpstr>
    </vt:vector>
  </TitlesOfParts>
  <Company/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Oordenanza municipal reguladora del Tráfico, Circulación de Vehículos a motor y Seguridad Vial</dc:title>
  <dc:subject/>
  <dc:creator>CUCA</dc:creator>
  <cp:keywords/>
  <cp:lastModifiedBy>FOS TOMAS - EUGENIO</cp:lastModifiedBy>
  <cp:revision>2</cp:revision>
  <dcterms:created xsi:type="dcterms:W3CDTF">2017-02-08T13:01:00Z</dcterms:created>
  <dcterms:modified xsi:type="dcterms:W3CDTF">2017-02-08T13:01:00Z</dcterms:modified>
</cp:coreProperties>
</file>